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1E" w:rsidRDefault="001326AC" w:rsidP="002B5746">
      <w:pPr>
        <w:spacing w:line="240" w:lineRule="auto"/>
        <w:jc w:val="both"/>
        <w:rPr>
          <w:rFonts w:ascii="Calibri" w:hAnsi="Calibri" w:cs="Calibri"/>
          <w:color w:val="000000"/>
        </w:rPr>
      </w:pPr>
      <w:r>
        <w:rPr>
          <w:rFonts w:ascii="Calibri" w:hAnsi="Calibri" w:cs="Calibri"/>
          <w:noProof/>
          <w:color w:val="000000"/>
          <w:lang w:eastAsia="fr-FR"/>
        </w:rPr>
        <w:drawing>
          <wp:anchor distT="0" distB="0" distL="114300" distR="114300" simplePos="0" relativeHeight="251658240" behindDoc="0" locked="0" layoutInCell="1" allowOverlap="1">
            <wp:simplePos x="0" y="0"/>
            <wp:positionH relativeFrom="margin">
              <wp:posOffset>3873500</wp:posOffset>
            </wp:positionH>
            <wp:positionV relativeFrom="margin">
              <wp:posOffset>204470</wp:posOffset>
            </wp:positionV>
            <wp:extent cx="1778000" cy="5175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MONTPELLIER3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000" cy="51752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lang w:eastAsia="fr-FR"/>
        </w:rPr>
        <w:drawing>
          <wp:inline distT="0" distB="0" distL="0" distR="0">
            <wp:extent cx="1193800" cy="624783"/>
            <wp:effectExtent l="0" t="0" r="635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9532" cy="648717"/>
                    </a:xfrm>
                    <a:prstGeom prst="rect">
                      <a:avLst/>
                    </a:prstGeom>
                  </pic:spPr>
                </pic:pic>
              </a:graphicData>
            </a:graphic>
          </wp:inline>
        </w:drawing>
      </w:r>
      <w:r w:rsidR="00BF3DBE" w:rsidRPr="008935B3">
        <w:rPr>
          <w:noProof/>
          <w:sz w:val="20"/>
          <w:szCs w:val="20"/>
          <w:lang w:eastAsia="fr-FR"/>
        </w:rPr>
        <w:drawing>
          <wp:inline distT="0" distB="0" distL="0" distR="0" wp14:anchorId="6B0CB50C" wp14:editId="618A8039">
            <wp:extent cx="762000" cy="568882"/>
            <wp:effectExtent l="0" t="0" r="0" b="3175"/>
            <wp:docPr id="6" name="Image 6" descr="C:\Users\giroudl.CAMNET\AppData\Local\Microsoft\Windows\INetCache\Content.Outlook\R56NUGF9\CITE_DES_ARTS_LOGO_AVEC_BASELIN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oudl.CAMNET\AppData\Local\Microsoft\Windows\INetCache\Content.Outlook\R56NUGF9\CITE_DES_ARTS_LOGO_AVEC_BASELINE_NO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095" cy="615986"/>
                    </a:xfrm>
                    <a:prstGeom prst="rect">
                      <a:avLst/>
                    </a:prstGeom>
                    <a:noFill/>
                    <a:ln>
                      <a:noFill/>
                    </a:ln>
                  </pic:spPr>
                </pic:pic>
              </a:graphicData>
            </a:graphic>
          </wp:inline>
        </w:drawing>
      </w:r>
    </w:p>
    <w:p w:rsidR="001F1F18" w:rsidRPr="00FB4B05" w:rsidRDefault="001F1F18" w:rsidP="002B5746">
      <w:pPr>
        <w:spacing w:after="120" w:line="240" w:lineRule="auto"/>
        <w:jc w:val="both"/>
        <w:rPr>
          <w:rFonts w:ascii="Calibri" w:hAnsi="Calibri" w:cs="Calibri"/>
          <w:b/>
          <w:color w:val="000000"/>
          <w:sz w:val="28"/>
          <w:szCs w:val="28"/>
        </w:rPr>
      </w:pPr>
      <w:r w:rsidRPr="00FB4B05">
        <w:rPr>
          <w:rFonts w:ascii="Calibri" w:hAnsi="Calibri" w:cs="Calibri"/>
          <w:b/>
          <w:color w:val="000000"/>
          <w:sz w:val="28"/>
          <w:szCs w:val="28"/>
        </w:rPr>
        <w:t>Offr</w:t>
      </w:r>
      <w:r w:rsidR="00385F87" w:rsidRPr="00FB4B05">
        <w:rPr>
          <w:rFonts w:ascii="Calibri" w:hAnsi="Calibri" w:cs="Calibri"/>
          <w:b/>
          <w:color w:val="000000"/>
          <w:sz w:val="28"/>
          <w:szCs w:val="28"/>
        </w:rPr>
        <w:t xml:space="preserve">e d’emploi </w:t>
      </w:r>
      <w:r w:rsidR="009B7B16" w:rsidRPr="00FB4B05">
        <w:rPr>
          <w:rFonts w:ascii="Calibri" w:hAnsi="Calibri" w:cs="Calibri"/>
          <w:b/>
          <w:color w:val="000000"/>
          <w:sz w:val="28"/>
          <w:szCs w:val="28"/>
        </w:rPr>
        <w:t>intervenants</w:t>
      </w:r>
      <w:r w:rsidR="00FB4B05">
        <w:rPr>
          <w:rFonts w:ascii="Calibri" w:hAnsi="Calibri" w:cs="Calibri"/>
          <w:b/>
          <w:color w:val="000000"/>
          <w:sz w:val="28"/>
          <w:szCs w:val="28"/>
        </w:rPr>
        <w:t> : Projet Démos</w:t>
      </w:r>
    </w:p>
    <w:p w:rsidR="001326AC" w:rsidRPr="00FB4B05" w:rsidRDefault="001326AC" w:rsidP="002B5746">
      <w:pPr>
        <w:autoSpaceDE w:val="0"/>
        <w:autoSpaceDN w:val="0"/>
        <w:adjustRightInd w:val="0"/>
        <w:spacing w:after="0" w:line="240" w:lineRule="auto"/>
        <w:jc w:val="both"/>
        <w:rPr>
          <w:rFonts w:ascii="Calibri" w:hAnsi="Calibri" w:cs="Calibri"/>
          <w:b/>
        </w:rPr>
      </w:pPr>
      <w:r w:rsidRPr="00FB4B05">
        <w:rPr>
          <w:rFonts w:ascii="Calibri" w:hAnsi="Calibri" w:cs="Calibri"/>
          <w:b/>
        </w:rPr>
        <w:t>MONTPELLIER MEDITERRANEE METROPOLE RECRUTE VIA SON SERVICE CRR</w:t>
      </w:r>
    </w:p>
    <w:p w:rsidR="00375102" w:rsidRDefault="00375102" w:rsidP="002B5746">
      <w:pPr>
        <w:autoSpaceDE w:val="0"/>
        <w:autoSpaceDN w:val="0"/>
        <w:adjustRightInd w:val="0"/>
        <w:spacing w:after="0" w:line="240" w:lineRule="auto"/>
        <w:jc w:val="both"/>
        <w:rPr>
          <w:rFonts w:ascii="Calibri" w:hAnsi="Calibri" w:cs="Calibri"/>
        </w:rPr>
      </w:pPr>
    </w:p>
    <w:p w:rsidR="007F4497" w:rsidRPr="002B5746" w:rsidRDefault="002B5746" w:rsidP="002B5746">
      <w:pPr>
        <w:autoSpaceDE w:val="0"/>
        <w:autoSpaceDN w:val="0"/>
        <w:adjustRightInd w:val="0"/>
        <w:spacing w:after="0" w:line="240" w:lineRule="auto"/>
        <w:jc w:val="both"/>
        <w:rPr>
          <w:rFonts w:ascii="Calibri,Bold" w:hAnsi="Calibri,Bold" w:cs="Calibri,Bold"/>
          <w:bCs/>
          <w:sz w:val="24"/>
          <w:szCs w:val="24"/>
        </w:rPr>
      </w:pPr>
      <w:r>
        <w:rPr>
          <w:rFonts w:ascii="Calibri,Bold" w:hAnsi="Calibri,Bold" w:cs="Calibri,Bold"/>
          <w:b/>
          <w:bCs/>
          <w:sz w:val="28"/>
          <w:szCs w:val="28"/>
        </w:rPr>
        <w:t xml:space="preserve">1 Référent social, permanent. </w:t>
      </w:r>
      <w:r w:rsidRPr="002B5746">
        <w:rPr>
          <w:rFonts w:ascii="Calibri,Bold" w:hAnsi="Calibri,Bold" w:cs="Calibri,Bold"/>
          <w:bCs/>
          <w:sz w:val="24"/>
          <w:szCs w:val="24"/>
        </w:rPr>
        <w:t>Maison pour tous G.</w:t>
      </w:r>
      <w:r>
        <w:rPr>
          <w:rFonts w:ascii="Calibri,Bold" w:hAnsi="Calibri,Bold" w:cs="Calibri,Bold"/>
          <w:bCs/>
          <w:sz w:val="24"/>
          <w:szCs w:val="24"/>
        </w:rPr>
        <w:t xml:space="preserve"> </w:t>
      </w:r>
      <w:r w:rsidRPr="002B5746">
        <w:rPr>
          <w:rFonts w:ascii="Calibri,Bold" w:hAnsi="Calibri,Bold" w:cs="Calibri,Bold"/>
          <w:bCs/>
          <w:sz w:val="24"/>
          <w:szCs w:val="24"/>
        </w:rPr>
        <w:t xml:space="preserve">Brassens, Hauts de </w:t>
      </w:r>
      <w:proofErr w:type="spellStart"/>
      <w:r w:rsidRPr="002B5746">
        <w:rPr>
          <w:rFonts w:ascii="Calibri,Bold" w:hAnsi="Calibri,Bold" w:cs="Calibri,Bold"/>
          <w:bCs/>
          <w:sz w:val="24"/>
          <w:szCs w:val="24"/>
        </w:rPr>
        <w:t>Massane</w:t>
      </w:r>
      <w:proofErr w:type="spellEnd"/>
      <w:r>
        <w:rPr>
          <w:rFonts w:ascii="Calibri,Bold" w:hAnsi="Calibri,Bold" w:cs="Calibri,Bold"/>
          <w:bCs/>
          <w:sz w:val="24"/>
          <w:szCs w:val="24"/>
        </w:rPr>
        <w:t>.</w:t>
      </w:r>
    </w:p>
    <w:p w:rsidR="006E7731" w:rsidRPr="00F670EB" w:rsidRDefault="006E7731" w:rsidP="002B5746">
      <w:pPr>
        <w:spacing w:line="240" w:lineRule="auto"/>
        <w:jc w:val="both"/>
        <w:rPr>
          <w:rFonts w:ascii="Calibri" w:hAnsi="Calibri" w:cs="Calibri"/>
          <w:b/>
        </w:rPr>
      </w:pPr>
      <w:r w:rsidRPr="00C723E1">
        <w:rPr>
          <w:rFonts w:ascii="Calibri" w:hAnsi="Calibri" w:cs="Calibri"/>
          <w:b/>
        </w:rPr>
        <w:t>D</w:t>
      </w:r>
      <w:r>
        <w:rPr>
          <w:rFonts w:ascii="Calibri" w:hAnsi="Calibri" w:cs="Calibri"/>
          <w:b/>
        </w:rPr>
        <w:t>émos</w:t>
      </w:r>
      <w:r w:rsidRPr="00C723E1">
        <w:rPr>
          <w:rFonts w:ascii="Calibri" w:hAnsi="Calibri" w:cs="Calibri"/>
          <w:b/>
        </w:rPr>
        <w:t xml:space="preserve"> (</w:t>
      </w:r>
      <w:r w:rsidRPr="001F3639">
        <w:rPr>
          <w:rFonts w:ascii="Calibri" w:hAnsi="Calibri" w:cs="Calibri"/>
          <w:b/>
        </w:rPr>
        <w:t>Dispositif d’Education Musicale et Orchestrale à vocation Sociale</w:t>
      </w:r>
      <w:r>
        <w:rPr>
          <w:rFonts w:ascii="Calibri" w:hAnsi="Calibri" w:cs="Calibri"/>
          <w:b/>
        </w:rPr>
        <w:t>)</w:t>
      </w:r>
      <w:r w:rsidR="00FF336E">
        <w:rPr>
          <w:rFonts w:ascii="Calibri" w:hAnsi="Calibri" w:cs="Calibri"/>
          <w:b/>
        </w:rPr>
        <w:t xml:space="preserve"> 3</w:t>
      </w:r>
      <w:r w:rsidR="00FF336E" w:rsidRPr="00FF336E">
        <w:rPr>
          <w:rFonts w:ascii="Calibri" w:hAnsi="Calibri" w:cs="Calibri"/>
          <w:b/>
          <w:vertAlign w:val="superscript"/>
        </w:rPr>
        <w:t>ème</w:t>
      </w:r>
      <w:r w:rsidR="00FF336E">
        <w:rPr>
          <w:rFonts w:ascii="Calibri" w:hAnsi="Calibri" w:cs="Calibri"/>
          <w:b/>
        </w:rPr>
        <w:t xml:space="preserve"> année.</w:t>
      </w:r>
      <w:r w:rsidR="00F670EB">
        <w:rPr>
          <w:rFonts w:ascii="Calibri" w:hAnsi="Calibri" w:cs="Calibri"/>
          <w:b/>
        </w:rPr>
        <w:t xml:space="preserve"> </w:t>
      </w:r>
      <w:r>
        <w:rPr>
          <w:rFonts w:ascii="Calibri" w:hAnsi="Calibri" w:cs="Calibri"/>
        </w:rPr>
        <w:t>L’O</w:t>
      </w:r>
      <w:r w:rsidRPr="00C723E1">
        <w:rPr>
          <w:rFonts w:ascii="Calibri" w:hAnsi="Calibri" w:cs="Calibri"/>
        </w:rPr>
        <w:t>rchestre des jeunes D</w:t>
      </w:r>
      <w:r>
        <w:rPr>
          <w:rFonts w:ascii="Calibri" w:hAnsi="Calibri" w:cs="Calibri"/>
        </w:rPr>
        <w:t>émos</w:t>
      </w:r>
      <w:r w:rsidRPr="00C723E1">
        <w:rPr>
          <w:rFonts w:ascii="Calibri" w:hAnsi="Calibri" w:cs="Calibri"/>
        </w:rPr>
        <w:t xml:space="preserve"> est un dispositif d’enseignement collectif de la musique fondé sur la pratique instrumentale en orchestre et destiné à des enfants de 7 à 12 ans vivant sur des territoires conna</w:t>
      </w:r>
      <w:r>
        <w:rPr>
          <w:rFonts w:ascii="Calibri" w:hAnsi="Calibri" w:cs="Calibri"/>
        </w:rPr>
        <w:t>issant des difficultés sociales, économiques et environnementales.</w:t>
      </w:r>
      <w:r w:rsidRPr="00C723E1">
        <w:rPr>
          <w:rFonts w:ascii="Calibri" w:hAnsi="Calibri" w:cs="Calibri"/>
        </w:rPr>
        <w:t xml:space="preserve"> Ce projet s’appuie sur un partenariat éducatif entre des musiciens employés par le dispositif et des travailleurs sociaux </w:t>
      </w:r>
      <w:r w:rsidR="00105F7A">
        <w:rPr>
          <w:rFonts w:ascii="Calibri" w:hAnsi="Calibri" w:cs="Calibri"/>
        </w:rPr>
        <w:t xml:space="preserve">présents sur les </w:t>
      </w:r>
      <w:r w:rsidRPr="00C723E1">
        <w:rPr>
          <w:rFonts w:ascii="Calibri" w:hAnsi="Calibri" w:cs="Calibri"/>
        </w:rPr>
        <w:t>différentes stru</w:t>
      </w:r>
      <w:r>
        <w:rPr>
          <w:rFonts w:ascii="Calibri" w:hAnsi="Calibri" w:cs="Calibri"/>
        </w:rPr>
        <w:t>ctures à caractère sociale.</w:t>
      </w:r>
    </w:p>
    <w:p w:rsidR="002F021C" w:rsidRPr="00C33C8D" w:rsidRDefault="006E7731" w:rsidP="002B5746">
      <w:pPr>
        <w:spacing w:after="0" w:line="240" w:lineRule="auto"/>
        <w:jc w:val="both"/>
        <w:rPr>
          <w:rFonts w:ascii="Calibri" w:hAnsi="Calibri" w:cs="Calibri"/>
          <w:sz w:val="16"/>
          <w:szCs w:val="16"/>
        </w:rPr>
      </w:pPr>
      <w:r>
        <w:rPr>
          <w:rFonts w:ascii="Calibri" w:hAnsi="Calibri" w:cs="Calibri"/>
        </w:rPr>
        <w:t>Ce projet a été initié en 2010 en Ile-de-France avec le soutien de l’E</w:t>
      </w:r>
      <w:r w:rsidRPr="00C723E1">
        <w:rPr>
          <w:rFonts w:ascii="Calibri" w:hAnsi="Calibri" w:cs="Calibri"/>
        </w:rPr>
        <w:t xml:space="preserve">tat (Ministère de la </w:t>
      </w:r>
      <w:r w:rsidR="00385F87">
        <w:rPr>
          <w:rFonts w:ascii="Calibri" w:hAnsi="Calibri" w:cs="Calibri"/>
        </w:rPr>
        <w:t>culture et CGET</w:t>
      </w:r>
      <w:r w:rsidRPr="006579DA">
        <w:rPr>
          <w:rFonts w:ascii="Calibri" w:hAnsi="Calibri" w:cs="Calibri"/>
        </w:rPr>
        <w:t xml:space="preserve">) </w:t>
      </w:r>
      <w:r>
        <w:rPr>
          <w:rFonts w:ascii="Calibri" w:hAnsi="Calibri" w:cs="Calibri"/>
        </w:rPr>
        <w:t xml:space="preserve">des collectivités territoriales </w:t>
      </w:r>
      <w:r w:rsidRPr="006579DA">
        <w:rPr>
          <w:rFonts w:ascii="Calibri" w:hAnsi="Calibri" w:cs="Calibri"/>
        </w:rPr>
        <w:t>et de</w:t>
      </w:r>
      <w:r>
        <w:rPr>
          <w:rFonts w:ascii="Calibri" w:hAnsi="Calibri" w:cs="Calibri"/>
        </w:rPr>
        <w:t>s</w:t>
      </w:r>
      <w:r w:rsidR="00385F87">
        <w:rPr>
          <w:rFonts w:ascii="Calibri" w:hAnsi="Calibri" w:cs="Calibri"/>
        </w:rPr>
        <w:t xml:space="preserve"> mécènes. Piloté par la Philharmonie de Paris</w:t>
      </w:r>
      <w:r w:rsidR="002B5746">
        <w:rPr>
          <w:rFonts w:ascii="Calibri" w:hAnsi="Calibri" w:cs="Calibri"/>
        </w:rPr>
        <w:t>.</w:t>
      </w:r>
    </w:p>
    <w:p w:rsidR="002B5746" w:rsidRPr="002B5746" w:rsidRDefault="00F27D1D" w:rsidP="002B5746">
      <w:pPr>
        <w:spacing w:after="0"/>
        <w:jc w:val="both"/>
        <w:rPr>
          <w:b/>
          <w:u w:val="single"/>
        </w:rPr>
      </w:pPr>
      <w:r w:rsidRPr="00AF519B">
        <w:rPr>
          <w:b/>
          <w:u w:val="single"/>
        </w:rPr>
        <w:t>Missions</w:t>
      </w:r>
    </w:p>
    <w:p w:rsidR="002B5746" w:rsidRPr="002B5746" w:rsidRDefault="002B5746" w:rsidP="002B5746">
      <w:pPr>
        <w:pStyle w:val="Default"/>
        <w:jc w:val="both"/>
        <w:rPr>
          <w:sz w:val="22"/>
          <w:szCs w:val="22"/>
        </w:rPr>
      </w:pPr>
      <w:r w:rsidRPr="002B5746">
        <w:rPr>
          <w:b/>
          <w:bCs/>
          <w:sz w:val="22"/>
          <w:szCs w:val="22"/>
        </w:rPr>
        <w:t xml:space="preserve">Le rôle du référent terrain : </w:t>
      </w:r>
    </w:p>
    <w:p w:rsidR="002B5746" w:rsidRPr="002B5746" w:rsidRDefault="002B5746" w:rsidP="002B5746">
      <w:pPr>
        <w:pStyle w:val="Default"/>
        <w:jc w:val="both"/>
        <w:rPr>
          <w:sz w:val="22"/>
          <w:szCs w:val="22"/>
        </w:rPr>
      </w:pPr>
      <w:r w:rsidRPr="002B5746">
        <w:rPr>
          <w:sz w:val="22"/>
          <w:szCs w:val="22"/>
        </w:rPr>
        <w:t xml:space="preserve">Le projet DEMOS est établit sur la base d’un </w:t>
      </w:r>
      <w:r w:rsidRPr="002B5746">
        <w:rPr>
          <w:b/>
          <w:bCs/>
          <w:sz w:val="22"/>
          <w:szCs w:val="22"/>
        </w:rPr>
        <w:t xml:space="preserve">partenariat </w:t>
      </w:r>
      <w:r w:rsidRPr="002B5746">
        <w:rPr>
          <w:sz w:val="22"/>
          <w:szCs w:val="22"/>
        </w:rPr>
        <w:t xml:space="preserve">entre différents corps professionnels : le champ culturel et le champ social. Cette double entrée se matérialise dans les ateliers par la présence des musiciens, spécialistes de leur technicité artistique, et la présence des référents terrain, spécialistes de leur technicité relationnelle et sociale. </w:t>
      </w:r>
    </w:p>
    <w:p w:rsidR="002B5746" w:rsidRPr="002B5746" w:rsidRDefault="002B5746" w:rsidP="002B5746">
      <w:pPr>
        <w:pStyle w:val="Default"/>
        <w:jc w:val="both"/>
        <w:rPr>
          <w:sz w:val="22"/>
          <w:szCs w:val="22"/>
        </w:rPr>
      </w:pPr>
      <w:r w:rsidRPr="002B5746">
        <w:rPr>
          <w:sz w:val="22"/>
          <w:szCs w:val="22"/>
        </w:rPr>
        <w:t xml:space="preserve">Le collectif est un des enjeux phares du projet DEMOS, et le référent terrain est le garant de ce travail collectif au sein duquel il faut toujours en passer par l’autre. </w:t>
      </w:r>
    </w:p>
    <w:p w:rsidR="002B5746" w:rsidRPr="002B5746" w:rsidRDefault="002B5746" w:rsidP="002B5746">
      <w:pPr>
        <w:pStyle w:val="Default"/>
        <w:jc w:val="both"/>
        <w:rPr>
          <w:sz w:val="22"/>
          <w:szCs w:val="22"/>
        </w:rPr>
      </w:pPr>
      <w:r w:rsidRPr="002B5746">
        <w:rPr>
          <w:sz w:val="22"/>
          <w:szCs w:val="22"/>
        </w:rPr>
        <w:t xml:space="preserve">On peut se demander si c’est le groupe qui stimule l’individu ou si c’est l’individu qui stimule le groupe ? </w:t>
      </w:r>
    </w:p>
    <w:p w:rsidR="002B5746" w:rsidRPr="002B5746" w:rsidRDefault="002B5746" w:rsidP="002B5746">
      <w:pPr>
        <w:pStyle w:val="Default"/>
        <w:jc w:val="both"/>
        <w:rPr>
          <w:sz w:val="22"/>
          <w:szCs w:val="22"/>
        </w:rPr>
      </w:pPr>
      <w:r w:rsidRPr="002B5746">
        <w:rPr>
          <w:sz w:val="22"/>
          <w:szCs w:val="22"/>
        </w:rPr>
        <w:lastRenderedPageBreak/>
        <w:t xml:space="preserve">Une alternance des regards s’opère entre le groupe et l’individu. Et c’est là que le référent terrain prend sa place. </w:t>
      </w:r>
    </w:p>
    <w:p w:rsidR="002B5746" w:rsidRPr="002B5746" w:rsidRDefault="002B5746" w:rsidP="002B5746">
      <w:pPr>
        <w:pStyle w:val="Default"/>
        <w:jc w:val="both"/>
        <w:rPr>
          <w:sz w:val="22"/>
          <w:szCs w:val="22"/>
        </w:rPr>
      </w:pPr>
      <w:r w:rsidRPr="002B5746">
        <w:rPr>
          <w:sz w:val="22"/>
          <w:szCs w:val="22"/>
        </w:rPr>
        <w:t xml:space="preserve">Le versant social du projet DEMOS s’attache à </w:t>
      </w:r>
      <w:r w:rsidRPr="002B5746">
        <w:rPr>
          <w:b/>
          <w:bCs/>
          <w:sz w:val="22"/>
          <w:szCs w:val="22"/>
        </w:rPr>
        <w:t>réfléchir à l’environnement de l’enfant</w:t>
      </w:r>
      <w:r w:rsidRPr="002B5746">
        <w:rPr>
          <w:sz w:val="22"/>
          <w:szCs w:val="22"/>
        </w:rPr>
        <w:t xml:space="preserve">, c’est à dire à tout ce qui peut empêcher l’apprentissage de la musique. Autrement dit, les acteurs sociaux du projet cherchent à anticiper sur tout ce qui peut entraver l’éducation musicale. </w:t>
      </w:r>
    </w:p>
    <w:p w:rsidR="002B5746" w:rsidRPr="002B5746" w:rsidRDefault="002B5746" w:rsidP="002B5746">
      <w:pPr>
        <w:pStyle w:val="Default"/>
        <w:jc w:val="both"/>
        <w:rPr>
          <w:sz w:val="22"/>
          <w:szCs w:val="22"/>
        </w:rPr>
      </w:pPr>
      <w:r w:rsidRPr="002B5746">
        <w:rPr>
          <w:sz w:val="22"/>
          <w:szCs w:val="22"/>
        </w:rPr>
        <w:t xml:space="preserve">Pour ce faire, le référent terrain met en </w:t>
      </w:r>
      <w:proofErr w:type="spellStart"/>
      <w:r w:rsidRPr="002B5746">
        <w:rPr>
          <w:sz w:val="22"/>
          <w:szCs w:val="22"/>
        </w:rPr>
        <w:t>oeuvre</w:t>
      </w:r>
      <w:proofErr w:type="spellEnd"/>
      <w:r w:rsidRPr="002B5746">
        <w:rPr>
          <w:sz w:val="22"/>
          <w:szCs w:val="22"/>
        </w:rPr>
        <w:t xml:space="preserve"> des </w:t>
      </w:r>
      <w:r w:rsidRPr="002B5746">
        <w:rPr>
          <w:b/>
          <w:bCs/>
          <w:sz w:val="22"/>
          <w:szCs w:val="22"/>
        </w:rPr>
        <w:t>compétences transversales</w:t>
      </w:r>
      <w:r w:rsidRPr="002B5746">
        <w:rPr>
          <w:sz w:val="22"/>
          <w:szCs w:val="22"/>
        </w:rPr>
        <w:t xml:space="preserve">. Ces compétences se répartissent entre un </w:t>
      </w:r>
      <w:r w:rsidRPr="002B5746">
        <w:rPr>
          <w:b/>
          <w:bCs/>
          <w:sz w:val="22"/>
          <w:szCs w:val="22"/>
        </w:rPr>
        <w:t xml:space="preserve">travail relationnel </w:t>
      </w:r>
      <w:r w:rsidRPr="002B5746">
        <w:rPr>
          <w:sz w:val="22"/>
          <w:szCs w:val="22"/>
        </w:rPr>
        <w:t xml:space="preserve">(gestion du groupe notamment), et un </w:t>
      </w:r>
      <w:r w:rsidRPr="002B5746">
        <w:rPr>
          <w:b/>
          <w:bCs/>
          <w:sz w:val="22"/>
          <w:szCs w:val="22"/>
        </w:rPr>
        <w:t xml:space="preserve">travail organisationnel </w:t>
      </w:r>
      <w:r w:rsidRPr="002B5746">
        <w:rPr>
          <w:sz w:val="22"/>
          <w:szCs w:val="22"/>
        </w:rPr>
        <w:t xml:space="preserve">(communication avec les acteurs du projet). </w:t>
      </w:r>
    </w:p>
    <w:p w:rsidR="002B5746" w:rsidRPr="002B5746" w:rsidRDefault="002B5746" w:rsidP="002B5746">
      <w:pPr>
        <w:pStyle w:val="Default"/>
        <w:jc w:val="both"/>
        <w:rPr>
          <w:sz w:val="22"/>
          <w:szCs w:val="22"/>
        </w:rPr>
      </w:pPr>
      <w:r w:rsidRPr="002B5746">
        <w:rPr>
          <w:sz w:val="22"/>
          <w:szCs w:val="22"/>
        </w:rPr>
        <w:t xml:space="preserve">Le référent terrain s’appuie donc sur : </w:t>
      </w:r>
    </w:p>
    <w:p w:rsidR="002B5746" w:rsidRPr="002B5746" w:rsidRDefault="002B5746" w:rsidP="002B5746">
      <w:pPr>
        <w:pStyle w:val="Default"/>
        <w:numPr>
          <w:ilvl w:val="0"/>
          <w:numId w:val="2"/>
        </w:numPr>
        <w:spacing w:after="183"/>
        <w:jc w:val="both"/>
        <w:rPr>
          <w:sz w:val="22"/>
          <w:szCs w:val="22"/>
        </w:rPr>
      </w:pPr>
      <w:r w:rsidRPr="002B5746">
        <w:rPr>
          <w:sz w:val="22"/>
          <w:szCs w:val="22"/>
        </w:rPr>
        <w:t xml:space="preserve">La connaissance des publics : de l’enfant (et son identité propre) à la dynamique du groupe dans le cadre de la pédagogie collective. </w:t>
      </w:r>
    </w:p>
    <w:p w:rsidR="002B5746" w:rsidRPr="002B5746" w:rsidRDefault="002B5746" w:rsidP="002B5746">
      <w:pPr>
        <w:pStyle w:val="Default"/>
        <w:numPr>
          <w:ilvl w:val="0"/>
          <w:numId w:val="2"/>
        </w:numPr>
        <w:spacing w:after="183"/>
        <w:jc w:val="both"/>
        <w:rPr>
          <w:sz w:val="22"/>
          <w:szCs w:val="22"/>
        </w:rPr>
      </w:pPr>
      <w:r w:rsidRPr="002B5746">
        <w:rPr>
          <w:sz w:val="22"/>
          <w:szCs w:val="22"/>
        </w:rPr>
        <w:t xml:space="preserve"> La connaissance de l’environnement social de l’enfant : les familles (parents et fratries), la structure sociale, l’école, les espaces de soins si nécessaire.</w:t>
      </w:r>
    </w:p>
    <w:p w:rsidR="002B5746" w:rsidRPr="002B5746" w:rsidRDefault="002B5746" w:rsidP="002B5746">
      <w:pPr>
        <w:pStyle w:val="Default"/>
        <w:numPr>
          <w:ilvl w:val="0"/>
          <w:numId w:val="2"/>
        </w:numPr>
        <w:spacing w:after="183"/>
        <w:jc w:val="both"/>
        <w:rPr>
          <w:sz w:val="22"/>
          <w:szCs w:val="22"/>
        </w:rPr>
      </w:pPr>
      <w:r w:rsidRPr="002B5746">
        <w:rPr>
          <w:sz w:val="22"/>
          <w:szCs w:val="22"/>
        </w:rPr>
        <w:t xml:space="preserve"> La coordination de l’équipe en interne (au sein des structures sociales) et en externe (avec les responsables DEMOS). </w:t>
      </w:r>
    </w:p>
    <w:p w:rsidR="002B5746" w:rsidRPr="002B5746" w:rsidRDefault="002B5746" w:rsidP="002B5746">
      <w:pPr>
        <w:pStyle w:val="Default"/>
        <w:jc w:val="both"/>
        <w:rPr>
          <w:sz w:val="22"/>
          <w:szCs w:val="22"/>
        </w:rPr>
      </w:pPr>
      <w:r w:rsidRPr="002B5746">
        <w:rPr>
          <w:sz w:val="22"/>
          <w:szCs w:val="22"/>
        </w:rPr>
        <w:t xml:space="preserve">Le référent terrain fait donc office de </w:t>
      </w:r>
      <w:r w:rsidRPr="002B5746">
        <w:rPr>
          <w:b/>
          <w:bCs/>
          <w:sz w:val="22"/>
          <w:szCs w:val="22"/>
        </w:rPr>
        <w:t xml:space="preserve">pivot dans les liens qui se tissent </w:t>
      </w:r>
      <w:r w:rsidRPr="002B5746">
        <w:rPr>
          <w:sz w:val="22"/>
          <w:szCs w:val="22"/>
        </w:rPr>
        <w:t>entre les différents pa</w:t>
      </w:r>
      <w:r>
        <w:rPr>
          <w:sz w:val="22"/>
          <w:szCs w:val="22"/>
        </w:rPr>
        <w:t xml:space="preserve">rtenaires du projet en étant : </w:t>
      </w:r>
      <w:r w:rsidRPr="002B5746">
        <w:rPr>
          <w:sz w:val="22"/>
          <w:szCs w:val="22"/>
        </w:rPr>
        <w:t xml:space="preserve">Un </w:t>
      </w:r>
      <w:r w:rsidRPr="002B5746">
        <w:rPr>
          <w:b/>
          <w:bCs/>
          <w:sz w:val="22"/>
          <w:szCs w:val="22"/>
        </w:rPr>
        <w:t xml:space="preserve">repère pour les enfants </w:t>
      </w:r>
      <w:r w:rsidRPr="002B5746">
        <w:rPr>
          <w:sz w:val="22"/>
          <w:szCs w:val="22"/>
        </w:rPr>
        <w:t>comme pour les adultes (professionnels du projet, familles), car il est présent sur tous les espaces de</w:t>
      </w:r>
      <w:r>
        <w:rPr>
          <w:sz w:val="22"/>
          <w:szCs w:val="22"/>
        </w:rPr>
        <w:t xml:space="preserve"> rencontre du projet.</w:t>
      </w:r>
      <w:r w:rsidRPr="002B5746">
        <w:rPr>
          <w:color w:val="auto"/>
          <w:sz w:val="22"/>
          <w:szCs w:val="22"/>
        </w:rPr>
        <w:t xml:space="preserve"> Le </w:t>
      </w:r>
      <w:r w:rsidRPr="002B5746">
        <w:rPr>
          <w:b/>
          <w:bCs/>
          <w:color w:val="auto"/>
          <w:sz w:val="22"/>
          <w:szCs w:val="22"/>
        </w:rPr>
        <w:t>filtre par lequel passe les informations</w:t>
      </w:r>
      <w:r w:rsidRPr="002B5746">
        <w:rPr>
          <w:color w:val="auto"/>
          <w:sz w:val="22"/>
          <w:szCs w:val="22"/>
        </w:rPr>
        <w:t xml:space="preserve">. Il est donc garant de la bonne communication entre les différents acteurs du projet. Il a un regard privilégié sur les plannings d’atelier, les répétitions (tuttis), les stages… </w:t>
      </w:r>
    </w:p>
    <w:p w:rsidR="002B5746" w:rsidRPr="002B5746" w:rsidRDefault="002B5746" w:rsidP="002B5746">
      <w:pPr>
        <w:spacing w:after="0"/>
        <w:jc w:val="both"/>
        <w:rPr>
          <w:b/>
          <w:u w:val="single"/>
        </w:rPr>
      </w:pPr>
    </w:p>
    <w:p w:rsidR="0031293F" w:rsidRPr="002B5746" w:rsidRDefault="00F8604E" w:rsidP="002B5746">
      <w:pPr>
        <w:spacing w:after="0"/>
        <w:jc w:val="both"/>
        <w:rPr>
          <w:b/>
          <w:u w:val="single"/>
        </w:rPr>
      </w:pPr>
      <w:r w:rsidRPr="002B5746">
        <w:rPr>
          <w:b/>
          <w:u w:val="single"/>
        </w:rPr>
        <w:t>Compétences et qualités requises</w:t>
      </w:r>
    </w:p>
    <w:p w:rsidR="007B5523" w:rsidRPr="002B5746" w:rsidRDefault="00F8604E" w:rsidP="002B5746">
      <w:pPr>
        <w:spacing w:after="0"/>
        <w:jc w:val="both"/>
        <w:rPr>
          <w:b/>
        </w:rPr>
      </w:pPr>
      <w:r w:rsidRPr="002B5746">
        <w:t xml:space="preserve">Capacité à travailler en équipe. </w:t>
      </w:r>
      <w:r w:rsidR="00081AE3" w:rsidRPr="002B5746">
        <w:t xml:space="preserve"> </w:t>
      </w:r>
      <w:r w:rsidRPr="002B5746">
        <w:t xml:space="preserve">Capacité à innover et à s’investir dans un projet </w:t>
      </w:r>
      <w:r w:rsidR="007B5523" w:rsidRPr="002B5746">
        <w:t>social.</w:t>
      </w:r>
    </w:p>
    <w:p w:rsidR="001326AC" w:rsidRPr="00AE615A" w:rsidRDefault="000467A1" w:rsidP="00AE615A">
      <w:pPr>
        <w:spacing w:after="0"/>
        <w:jc w:val="both"/>
        <w:rPr>
          <w:b/>
          <w:u w:val="single"/>
        </w:rPr>
      </w:pPr>
      <w:r w:rsidRPr="00AF519B">
        <w:rPr>
          <w:b/>
          <w:u w:val="single"/>
        </w:rPr>
        <w:t>Calendrier d’intervention</w:t>
      </w:r>
      <w:r w:rsidR="00AE615A">
        <w:rPr>
          <w:b/>
          <w:u w:val="single"/>
        </w:rPr>
        <w:t xml:space="preserve"> : </w:t>
      </w:r>
      <w:r w:rsidR="00803D84">
        <w:rPr>
          <w:b/>
        </w:rPr>
        <w:t xml:space="preserve">De </w:t>
      </w:r>
      <w:r w:rsidR="009F1DED">
        <w:rPr>
          <w:b/>
        </w:rPr>
        <w:t>septembre 2022 à juin</w:t>
      </w:r>
      <w:r w:rsidR="001326AC">
        <w:rPr>
          <w:b/>
        </w:rPr>
        <w:t xml:space="preserve"> 2023 dans</w:t>
      </w:r>
      <w:r w:rsidR="00844FA1" w:rsidRPr="001713CD">
        <w:t xml:space="preserve"> le cadre d’a</w:t>
      </w:r>
      <w:r w:rsidR="00212469" w:rsidRPr="001713CD">
        <w:t>teliers</w:t>
      </w:r>
      <w:r w:rsidR="00212469" w:rsidRPr="00212469">
        <w:t xml:space="preserve"> </w:t>
      </w:r>
      <w:r w:rsidR="00925A43" w:rsidRPr="00212469">
        <w:t>bihebdomadaires</w:t>
      </w:r>
      <w:r w:rsidR="00844FA1">
        <w:t>, hors temps scolaire</w:t>
      </w:r>
      <w:r w:rsidR="001F1F18">
        <w:t>.</w:t>
      </w:r>
      <w:r w:rsidR="00AE615A">
        <w:rPr>
          <w:b/>
          <w:u w:val="single"/>
        </w:rPr>
        <w:t xml:space="preserve"> </w:t>
      </w:r>
      <w:r w:rsidR="00925A43">
        <w:t>Les plannings seront défini</w:t>
      </w:r>
      <w:r w:rsidR="00385F87">
        <w:t xml:space="preserve">s </w:t>
      </w:r>
      <w:r w:rsidR="00081AE3">
        <w:t>avec</w:t>
      </w:r>
      <w:r w:rsidR="00385F87">
        <w:t xml:space="preserve"> les structures sociales</w:t>
      </w:r>
      <w:r w:rsidR="00925A43">
        <w:t>,</w:t>
      </w:r>
      <w:r w:rsidR="006E7731">
        <w:t xml:space="preserve"> partenaires du projet. </w:t>
      </w:r>
      <w:r w:rsidR="006E7731">
        <w:br/>
      </w:r>
      <w:r w:rsidR="00212469" w:rsidRPr="000467A1">
        <w:t>Encadrement de répét</w:t>
      </w:r>
      <w:r w:rsidR="00385F87">
        <w:t xml:space="preserve">itions d’orchestre et concerts </w:t>
      </w:r>
      <w:r w:rsidR="00212469" w:rsidRPr="000467A1">
        <w:t>réparti</w:t>
      </w:r>
      <w:r w:rsidR="00795F56">
        <w:t>s</w:t>
      </w:r>
      <w:r w:rsidR="00212469" w:rsidRPr="000467A1">
        <w:t xml:space="preserve"> dans l’année</w:t>
      </w:r>
      <w:r w:rsidR="00385F87">
        <w:t xml:space="preserve"> (environ toutes les </w:t>
      </w:r>
      <w:r w:rsidR="00385F87">
        <w:lastRenderedPageBreak/>
        <w:t xml:space="preserve">6 semaines </w:t>
      </w:r>
      <w:r w:rsidR="00944E1E">
        <w:t xml:space="preserve">en </w:t>
      </w:r>
      <w:r w:rsidR="00385F87">
        <w:t>année scolaire complète)</w:t>
      </w:r>
      <w:r w:rsidR="006E7731">
        <w:t>.</w:t>
      </w:r>
      <w:r w:rsidR="00AE615A">
        <w:t xml:space="preserve"> </w:t>
      </w:r>
      <w:r w:rsidR="006E7731">
        <w:t>Participation à des réunions d’équipe trimestrielles.</w:t>
      </w:r>
      <w:r w:rsidR="00AE615A">
        <w:t xml:space="preserve"> </w:t>
      </w:r>
      <w:r w:rsidR="006E7731">
        <w:t>Prog</w:t>
      </w:r>
      <w:r w:rsidR="00FF1ABD">
        <w:t>ramme de formations</w:t>
      </w:r>
      <w:r w:rsidR="00C81C42">
        <w:t xml:space="preserve"> </w:t>
      </w:r>
      <w:r w:rsidR="006E7731">
        <w:t>tout au long du projet</w:t>
      </w:r>
      <w:r w:rsidR="00FF1ABD">
        <w:t xml:space="preserve"> (2 par année)</w:t>
      </w:r>
      <w:r w:rsidR="006E7731">
        <w:t>.</w:t>
      </w:r>
    </w:p>
    <w:p w:rsidR="001326AC" w:rsidRPr="00FB4B05" w:rsidRDefault="001326AC" w:rsidP="002B5746">
      <w:pPr>
        <w:autoSpaceDE w:val="0"/>
        <w:autoSpaceDN w:val="0"/>
        <w:adjustRightInd w:val="0"/>
        <w:spacing w:after="0" w:line="240" w:lineRule="auto"/>
        <w:jc w:val="both"/>
        <w:rPr>
          <w:rFonts w:ascii="Calibri" w:hAnsi="Calibri" w:cs="Calibri"/>
        </w:rPr>
      </w:pPr>
      <w:r>
        <w:rPr>
          <w:rFonts w:ascii="Calibri,Bold" w:hAnsi="Calibri,Bold" w:cs="Calibri,Bold"/>
          <w:b/>
          <w:bCs/>
        </w:rPr>
        <w:t xml:space="preserve">Adresser CV et lettre de motivation à </w:t>
      </w:r>
      <w:r>
        <w:rPr>
          <w:rFonts w:ascii="Calibri" w:hAnsi="Calibri" w:cs="Calibri"/>
        </w:rPr>
        <w:t>: M. Patrick POUGET, directeur du CRR</w:t>
      </w:r>
      <w:r w:rsidR="00F670EB">
        <w:rPr>
          <w:rFonts w:ascii="Calibri" w:hAnsi="Calibri" w:cs="Calibri"/>
        </w:rPr>
        <w:t xml:space="preserve"> </w:t>
      </w:r>
      <w:r w:rsidR="002900A5" w:rsidRPr="002900A5">
        <w:rPr>
          <w:rFonts w:ascii="Calibri" w:hAnsi="Calibri" w:cs="Calibri"/>
        </w:rPr>
        <w:t>1</w:t>
      </w:r>
      <w:r w:rsidR="002900A5">
        <w:rPr>
          <w:rFonts w:ascii="Calibri" w:hAnsi="Calibri" w:cs="Calibri"/>
        </w:rPr>
        <w:t xml:space="preserve">3, avenue du Professeur Grasset </w:t>
      </w:r>
      <w:r w:rsidR="002900A5" w:rsidRPr="002900A5">
        <w:rPr>
          <w:rFonts w:ascii="Calibri" w:hAnsi="Calibri" w:cs="Calibri"/>
        </w:rPr>
        <w:t>34090 MONTPELLIER</w:t>
      </w:r>
      <w:r w:rsidR="00FB4B05">
        <w:rPr>
          <w:rFonts w:ascii="Calibri" w:hAnsi="Calibri" w:cs="Calibri"/>
        </w:rPr>
        <w:t xml:space="preserve">– </w:t>
      </w:r>
      <w:bookmarkStart w:id="0" w:name="_GoBack"/>
      <w:r w:rsidR="00FB4B05">
        <w:rPr>
          <w:rFonts w:ascii="Calibri" w:hAnsi="Calibri" w:cs="Calibri"/>
        </w:rPr>
        <w:t>m.kacem@montpellier3m.fr</w:t>
      </w:r>
      <w:bookmarkEnd w:id="0"/>
    </w:p>
    <w:sectPr w:rsidR="001326AC" w:rsidRPr="00FB4B05" w:rsidSect="002B146A">
      <w:head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F53" w:rsidRDefault="00DF7F53" w:rsidP="00844FA1">
      <w:pPr>
        <w:spacing w:after="0" w:line="240" w:lineRule="auto"/>
      </w:pPr>
      <w:r>
        <w:separator/>
      </w:r>
    </w:p>
  </w:endnote>
  <w:endnote w:type="continuationSeparator" w:id="0">
    <w:p w:rsidR="00DF7F53" w:rsidRDefault="00DF7F53" w:rsidP="0084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F53" w:rsidRDefault="00DF7F53" w:rsidP="00844FA1">
      <w:pPr>
        <w:spacing w:after="0" w:line="240" w:lineRule="auto"/>
      </w:pPr>
      <w:r>
        <w:separator/>
      </w:r>
    </w:p>
  </w:footnote>
  <w:footnote w:type="continuationSeparator" w:id="0">
    <w:p w:rsidR="00DF7F53" w:rsidRDefault="00DF7F53" w:rsidP="0084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FA1" w:rsidRDefault="00844FA1" w:rsidP="00844FA1">
    <w:pPr>
      <w:pStyle w:val="En-tte"/>
      <w:tabs>
        <w:tab w:val="clear" w:pos="4536"/>
        <w:tab w:val="clear" w:pos="9072"/>
        <w:tab w:val="left" w:pos="2370"/>
      </w:tabs>
      <w:jc w:val="both"/>
    </w:pP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4379"/>
    <w:multiLevelType w:val="hybridMultilevel"/>
    <w:tmpl w:val="A44C7396"/>
    <w:lvl w:ilvl="0" w:tplc="042C7D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EC0264"/>
    <w:multiLevelType w:val="hybridMultilevel"/>
    <w:tmpl w:val="5A1C41A0"/>
    <w:lvl w:ilvl="0" w:tplc="D318DFD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EE"/>
    <w:rsid w:val="00021DCD"/>
    <w:rsid w:val="00025F12"/>
    <w:rsid w:val="000467A1"/>
    <w:rsid w:val="00081AE3"/>
    <w:rsid w:val="000B0FAB"/>
    <w:rsid w:val="000C497E"/>
    <w:rsid w:val="00105F7A"/>
    <w:rsid w:val="00131F9C"/>
    <w:rsid w:val="001326AC"/>
    <w:rsid w:val="0015482A"/>
    <w:rsid w:val="001566EB"/>
    <w:rsid w:val="001713CD"/>
    <w:rsid w:val="00175105"/>
    <w:rsid w:val="0017562E"/>
    <w:rsid w:val="001A461E"/>
    <w:rsid w:val="001F1F18"/>
    <w:rsid w:val="00212469"/>
    <w:rsid w:val="002173E7"/>
    <w:rsid w:val="00217C31"/>
    <w:rsid w:val="0022192D"/>
    <w:rsid w:val="00274D93"/>
    <w:rsid w:val="002900A5"/>
    <w:rsid w:val="002960C2"/>
    <w:rsid w:val="002B146A"/>
    <w:rsid w:val="002B2267"/>
    <w:rsid w:val="002B5746"/>
    <w:rsid w:val="002C476C"/>
    <w:rsid w:val="002D397D"/>
    <w:rsid w:val="002E21EF"/>
    <w:rsid w:val="002F021C"/>
    <w:rsid w:val="002F03AB"/>
    <w:rsid w:val="00303F21"/>
    <w:rsid w:val="00305964"/>
    <w:rsid w:val="0031293F"/>
    <w:rsid w:val="00342DEC"/>
    <w:rsid w:val="00375102"/>
    <w:rsid w:val="00375427"/>
    <w:rsid w:val="00385F87"/>
    <w:rsid w:val="004152AB"/>
    <w:rsid w:val="004834E0"/>
    <w:rsid w:val="004A0D70"/>
    <w:rsid w:val="004A13DC"/>
    <w:rsid w:val="004B5FBC"/>
    <w:rsid w:val="004C744F"/>
    <w:rsid w:val="004F390D"/>
    <w:rsid w:val="005C0B9E"/>
    <w:rsid w:val="005D00DF"/>
    <w:rsid w:val="006E7731"/>
    <w:rsid w:val="00720B15"/>
    <w:rsid w:val="00745788"/>
    <w:rsid w:val="007623E7"/>
    <w:rsid w:val="00795F56"/>
    <w:rsid w:val="007B5523"/>
    <w:rsid w:val="007C78C6"/>
    <w:rsid w:val="007E4D05"/>
    <w:rsid w:val="007F4497"/>
    <w:rsid w:val="00803D84"/>
    <w:rsid w:val="00811EA4"/>
    <w:rsid w:val="00814C7F"/>
    <w:rsid w:val="00833694"/>
    <w:rsid w:val="00841402"/>
    <w:rsid w:val="00844FA1"/>
    <w:rsid w:val="00880C9B"/>
    <w:rsid w:val="008C150A"/>
    <w:rsid w:val="00925A43"/>
    <w:rsid w:val="00937A2F"/>
    <w:rsid w:val="0094157C"/>
    <w:rsid w:val="00944E1E"/>
    <w:rsid w:val="00983A58"/>
    <w:rsid w:val="009B02DD"/>
    <w:rsid w:val="009B7B16"/>
    <w:rsid w:val="009D32FC"/>
    <w:rsid w:val="009E12A0"/>
    <w:rsid w:val="009F1DED"/>
    <w:rsid w:val="00A26ACF"/>
    <w:rsid w:val="00A31AEF"/>
    <w:rsid w:val="00AE615A"/>
    <w:rsid w:val="00AF4688"/>
    <w:rsid w:val="00AF519B"/>
    <w:rsid w:val="00B35176"/>
    <w:rsid w:val="00B35BAE"/>
    <w:rsid w:val="00B63C0E"/>
    <w:rsid w:val="00B813E0"/>
    <w:rsid w:val="00B82BDE"/>
    <w:rsid w:val="00BE3A3C"/>
    <w:rsid w:val="00BF3DBE"/>
    <w:rsid w:val="00BF47A4"/>
    <w:rsid w:val="00C33C8D"/>
    <w:rsid w:val="00C81C42"/>
    <w:rsid w:val="00C96AA8"/>
    <w:rsid w:val="00CD07E9"/>
    <w:rsid w:val="00CD58EB"/>
    <w:rsid w:val="00D20F6C"/>
    <w:rsid w:val="00D64608"/>
    <w:rsid w:val="00D833A6"/>
    <w:rsid w:val="00DA4E31"/>
    <w:rsid w:val="00DD0900"/>
    <w:rsid w:val="00DF7F53"/>
    <w:rsid w:val="00E22D46"/>
    <w:rsid w:val="00E328FE"/>
    <w:rsid w:val="00E35663"/>
    <w:rsid w:val="00E62516"/>
    <w:rsid w:val="00E75626"/>
    <w:rsid w:val="00EA1658"/>
    <w:rsid w:val="00EC3212"/>
    <w:rsid w:val="00EF1D25"/>
    <w:rsid w:val="00EF2D96"/>
    <w:rsid w:val="00F11F7F"/>
    <w:rsid w:val="00F27D1D"/>
    <w:rsid w:val="00F47985"/>
    <w:rsid w:val="00F47DAE"/>
    <w:rsid w:val="00F536D9"/>
    <w:rsid w:val="00F65EA6"/>
    <w:rsid w:val="00F670EB"/>
    <w:rsid w:val="00F67C15"/>
    <w:rsid w:val="00F8604E"/>
    <w:rsid w:val="00FB4B05"/>
    <w:rsid w:val="00FF1ABD"/>
    <w:rsid w:val="00FF336E"/>
    <w:rsid w:val="00FF5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926165-A271-4105-AC11-29A347B6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04E"/>
    <w:pPr>
      <w:ind w:left="720"/>
      <w:contextualSpacing/>
    </w:pPr>
  </w:style>
  <w:style w:type="paragraph" w:styleId="Textedebulles">
    <w:name w:val="Balloon Text"/>
    <w:basedOn w:val="Normal"/>
    <w:link w:val="TextedebullesCar"/>
    <w:uiPriority w:val="99"/>
    <w:semiHidden/>
    <w:unhideWhenUsed/>
    <w:rsid w:val="00BE3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3A3C"/>
    <w:rPr>
      <w:rFonts w:ascii="Tahoma" w:hAnsi="Tahoma" w:cs="Tahoma"/>
      <w:sz w:val="16"/>
      <w:szCs w:val="16"/>
    </w:rPr>
  </w:style>
  <w:style w:type="character" w:styleId="Lienhypertexte">
    <w:name w:val="Hyperlink"/>
    <w:basedOn w:val="Policepardfaut"/>
    <w:uiPriority w:val="99"/>
    <w:unhideWhenUsed/>
    <w:rsid w:val="00E22D46"/>
    <w:rPr>
      <w:color w:val="0000FF" w:themeColor="hyperlink"/>
      <w:u w:val="single"/>
    </w:rPr>
  </w:style>
  <w:style w:type="paragraph" w:styleId="En-tte">
    <w:name w:val="header"/>
    <w:basedOn w:val="Normal"/>
    <w:link w:val="En-tteCar"/>
    <w:uiPriority w:val="99"/>
    <w:unhideWhenUsed/>
    <w:rsid w:val="00844FA1"/>
    <w:pPr>
      <w:tabs>
        <w:tab w:val="center" w:pos="4536"/>
        <w:tab w:val="right" w:pos="9072"/>
      </w:tabs>
      <w:spacing w:after="0" w:line="240" w:lineRule="auto"/>
    </w:pPr>
  </w:style>
  <w:style w:type="character" w:customStyle="1" w:styleId="En-tteCar">
    <w:name w:val="En-tête Car"/>
    <w:basedOn w:val="Policepardfaut"/>
    <w:link w:val="En-tte"/>
    <w:uiPriority w:val="99"/>
    <w:rsid w:val="00844FA1"/>
  </w:style>
  <w:style w:type="paragraph" w:styleId="Pieddepage">
    <w:name w:val="footer"/>
    <w:basedOn w:val="Normal"/>
    <w:link w:val="PieddepageCar"/>
    <w:uiPriority w:val="99"/>
    <w:unhideWhenUsed/>
    <w:rsid w:val="00844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FA1"/>
  </w:style>
  <w:style w:type="paragraph" w:customStyle="1" w:styleId="Default">
    <w:name w:val="Default"/>
    <w:rsid w:val="002B57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28894074D0E40A2E63DEE4AB0D5DC" ma:contentTypeVersion="2" ma:contentTypeDescription="Crée un document." ma:contentTypeScope="" ma:versionID="15519c39208e4e2d4757b8f62fcf05ce">
  <xsd:schema xmlns:xsd="http://www.w3.org/2001/XMLSchema" xmlns:xs="http://www.w3.org/2001/XMLSchema" xmlns:p="http://schemas.microsoft.com/office/2006/metadata/properties" xmlns:ns2="3ac2610f-8e6d-47a3-97fa-1c373090e56f" targetNamespace="http://schemas.microsoft.com/office/2006/metadata/properties" ma:root="true" ma:fieldsID="a59c7ec83ddc0e45705a8ac0cb1a80be" ns2:_="">
    <xsd:import namespace="3ac2610f-8e6d-47a3-97fa-1c373090e5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2610f-8e6d-47a3-97fa-1c373090e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ECEE0-452A-4ADC-8711-0C6C2D13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2610f-8e6d-47a3-97fa-1c373090e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BE76A-8D9D-4FB0-9C2C-4920FEFC1F32}">
  <ds:schemaRefs>
    <ds:schemaRef ds:uri="http://schemas.microsoft.com/sharepoint/v3/contenttype/forms"/>
  </ds:schemaRefs>
</ds:datastoreItem>
</file>

<file path=customXml/itemProps3.xml><?xml version="1.0" encoding="utf-8"?>
<ds:datastoreItem xmlns:ds="http://schemas.openxmlformats.org/officeDocument/2006/customXml" ds:itemID="{396FA6F7-0CE5-4854-9B28-3550094A61C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3ac2610f-8e6d-47a3-97fa-1c373090e56f"/>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3339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cité de la musique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gdelebarre</dc:creator>
  <cp:lastModifiedBy>LEIRENS melanie</cp:lastModifiedBy>
  <cp:revision>2</cp:revision>
  <cp:lastPrinted>2022-07-08T07:44:00Z</cp:lastPrinted>
  <dcterms:created xsi:type="dcterms:W3CDTF">2022-07-19T15:23:00Z</dcterms:created>
  <dcterms:modified xsi:type="dcterms:W3CDTF">2022-07-19T15:23:00Z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0x010100C4628894074D0E40A2E63DEE4AB0D5DC</vt:lpwstr>
  </property>
</Properties>
</file>